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D4" w:rsidRPr="00490BD4" w:rsidRDefault="00490BD4" w:rsidP="00CB43AA">
      <w:pPr>
        <w:rPr>
          <w:rFonts w:ascii="Arial" w:hAnsi="Arial" w:cs="Arial"/>
          <w:b/>
          <w:u w:val="single"/>
        </w:rPr>
      </w:pPr>
      <w:r w:rsidRPr="00490BD4">
        <w:rPr>
          <w:rFonts w:ascii="Arial" w:hAnsi="Arial" w:cs="Arial"/>
          <w:b/>
          <w:u w:val="single"/>
        </w:rPr>
        <w:t>BAFA - Bundesamt für Wirtschaft und Ausfuhrkontrolle</w:t>
      </w:r>
    </w:p>
    <w:p w:rsidR="00490BD4" w:rsidRDefault="00490BD4" w:rsidP="00CB43AA">
      <w:pPr>
        <w:rPr>
          <w:rFonts w:ascii="Arial" w:hAnsi="Arial" w:cs="Arial"/>
          <w:u w:val="single"/>
        </w:rPr>
      </w:pPr>
    </w:p>
    <w:p w:rsidR="00BE4E2C" w:rsidRPr="00A71224" w:rsidRDefault="00CB43AA" w:rsidP="00CB43A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Bundesförderung für effiziente Gebäude – Einzelmaßnahmen Zuschuss</w:t>
      </w:r>
    </w:p>
    <w:p w:rsidR="00BE4E2C" w:rsidRPr="00A71224" w:rsidRDefault="00BE4E2C">
      <w:pPr>
        <w:rPr>
          <w:rFonts w:ascii="Arial" w:hAnsi="Arial" w:cs="Arial"/>
        </w:rPr>
      </w:pPr>
    </w:p>
    <w:p w:rsidR="00221325" w:rsidRDefault="00BE4E2C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t xml:space="preserve">Wer darf einen Antrag stellen? </w:t>
      </w:r>
    </w:p>
    <w:p w:rsidR="00C21C88" w:rsidRP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Privatpersonen und Wohnungseigentümergemeinschaften</w:t>
      </w:r>
    </w:p>
    <w:p w:rsidR="00C21C88" w:rsidRP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freiberuflich Tätige</w:t>
      </w:r>
    </w:p>
    <w:p w:rsidR="00C21C88" w:rsidRP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Kommunale Gebietskörperschaften, kommunale Gemeinde- und Zweckverbände, sowie rechtlich unselbständige Eigenbetriebe von kommunalen Gebietskörperschaften, sofern diese zu Zwecken der Daseinsvorsorge handeln</w:t>
      </w:r>
    </w:p>
    <w:p w:rsidR="00C21C88" w:rsidRP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Körperschaften und Anstalten des öffentlichen Rechts, zum Beispiel Kammern oder Verbände</w:t>
      </w:r>
    </w:p>
    <w:p w:rsidR="00C21C88" w:rsidRP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gemeinnützige Organisationen einschließlich Kirchen</w:t>
      </w:r>
    </w:p>
    <w:p w:rsidR="00C21C88" w:rsidRP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Unternehmen, einschließlich Einzelunternehmer und kommunale Unternehmen</w:t>
      </w:r>
    </w:p>
    <w:p w:rsidR="00C21C88" w:rsidRDefault="00C21C88" w:rsidP="00C21C8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21C88">
        <w:rPr>
          <w:rFonts w:ascii="Arial" w:eastAsia="Times New Roman" w:hAnsi="Arial" w:cs="Arial"/>
          <w:lang w:eastAsia="de-DE"/>
        </w:rPr>
        <w:t>sonstige juristische Personen des Privatrechts, einschließlich Wohnungsbaugenossenschaften</w:t>
      </w:r>
    </w:p>
    <w:p w:rsidR="00EB3E8F" w:rsidRPr="00EB3E8F" w:rsidRDefault="00EB3E8F" w:rsidP="00EB3E8F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Style w:val="Fett"/>
        </w:rPr>
        <w:t>Die Antragstellung erfordert die Einbindung eines Energie-Effizienz-Experten</w:t>
      </w:r>
    </w:p>
    <w:p w:rsidR="00A72E30" w:rsidRPr="00A71224" w:rsidRDefault="00A72E30">
      <w:pPr>
        <w:rPr>
          <w:rFonts w:ascii="Arial" w:hAnsi="Arial" w:cs="Arial"/>
        </w:rPr>
      </w:pPr>
    </w:p>
    <w:p w:rsidR="00A72E30" w:rsidRDefault="00A72E30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t>Was wird gefördert?</w:t>
      </w:r>
    </w:p>
    <w:p w:rsidR="003E1DF6" w:rsidRDefault="003E1DF6">
      <w:pPr>
        <w:rPr>
          <w:rFonts w:ascii="Arial" w:hAnsi="Arial" w:cs="Arial"/>
          <w:u w:val="single"/>
        </w:rPr>
      </w:pPr>
    </w:p>
    <w:p w:rsidR="00C21C88" w:rsidRPr="00445EFC" w:rsidRDefault="00C21C88" w:rsidP="00C21C88">
      <w:pPr>
        <w:rPr>
          <w:rFonts w:ascii="Arial" w:hAnsi="Arial" w:cs="Arial"/>
          <w:u w:val="single"/>
        </w:rPr>
      </w:pPr>
      <w:r w:rsidRPr="00445EFC">
        <w:rPr>
          <w:rFonts w:ascii="Arial" w:hAnsi="Arial" w:cs="Arial"/>
        </w:rPr>
        <w:t>Gefördert werden Einzelmaßnahmen an Bestandsgebäuden, die zur Erhöhung der Energieeffizienz des Gebäudes an der Gebäudehülle</w:t>
      </w:r>
      <w:r w:rsidR="00F46E6B">
        <w:rPr>
          <w:rFonts w:ascii="Arial" w:hAnsi="Arial" w:cs="Arial"/>
        </w:rPr>
        <w:t xml:space="preserve"> betragen.</w:t>
      </w:r>
      <w:r w:rsidRPr="00445EFC">
        <w:rPr>
          <w:rFonts w:ascii="Arial" w:hAnsi="Arial" w:cs="Arial"/>
        </w:rPr>
        <w:t xml:space="preserve"> </w:t>
      </w:r>
      <w:r w:rsidR="00F46E6B">
        <w:rPr>
          <w:rFonts w:ascii="Arial" w:hAnsi="Arial" w:cs="Arial"/>
        </w:rPr>
        <w:t>W</w:t>
      </w:r>
      <w:r w:rsidRPr="00445EFC">
        <w:rPr>
          <w:rFonts w:ascii="Arial" w:hAnsi="Arial" w:cs="Arial"/>
        </w:rPr>
        <w:t xml:space="preserve">ie beispielsweise </w:t>
      </w:r>
      <w:r w:rsidR="00F46E6B">
        <w:rPr>
          <w:rFonts w:ascii="Arial" w:hAnsi="Arial" w:cs="Arial"/>
        </w:rPr>
        <w:t xml:space="preserve">der Austausch von </w:t>
      </w:r>
      <w:r w:rsidRPr="00445EFC">
        <w:rPr>
          <w:rFonts w:ascii="Arial" w:hAnsi="Arial" w:cs="Arial"/>
        </w:rPr>
        <w:t xml:space="preserve">Fenster oder </w:t>
      </w:r>
      <w:r w:rsidR="00F46E6B">
        <w:rPr>
          <w:rFonts w:ascii="Arial" w:hAnsi="Arial" w:cs="Arial"/>
        </w:rPr>
        <w:t>Außentüren.</w:t>
      </w:r>
    </w:p>
    <w:p w:rsidR="003E1DF6" w:rsidRPr="00A71224" w:rsidRDefault="003E1DF6">
      <w:pPr>
        <w:rPr>
          <w:rFonts w:ascii="Arial" w:hAnsi="Arial" w:cs="Arial"/>
          <w:u w:val="single"/>
        </w:rPr>
      </w:pPr>
    </w:p>
    <w:p w:rsidR="00F7013A" w:rsidRDefault="00F7013A">
      <w:pPr>
        <w:rPr>
          <w:rFonts w:ascii="Arial" w:hAnsi="Arial" w:cs="Arial"/>
          <w:u w:val="single"/>
        </w:rPr>
      </w:pPr>
    </w:p>
    <w:p w:rsidR="00221325" w:rsidRDefault="00803B14" w:rsidP="002213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 welchem Investitionsrahmen wird gefördert? </w:t>
      </w:r>
    </w:p>
    <w:p w:rsidR="00221325" w:rsidRPr="00221325" w:rsidRDefault="00221325" w:rsidP="00221325">
      <w:pPr>
        <w:rPr>
          <w:rFonts w:ascii="Arial" w:hAnsi="Arial" w:cs="Arial"/>
          <w:u w:val="single"/>
        </w:rPr>
      </w:pPr>
    </w:p>
    <w:p w:rsidR="00221325" w:rsidRPr="00221325" w:rsidRDefault="00221325" w:rsidP="00221325">
      <w:pPr>
        <w:numPr>
          <w:ilvl w:val="0"/>
          <w:numId w:val="5"/>
        </w:numPr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lang w:eastAsia="de-DE"/>
        </w:rPr>
      </w:pPr>
      <w:r w:rsidRPr="00221325">
        <w:rPr>
          <w:rFonts w:ascii="Arial" w:eastAsia="Times New Roman" w:hAnsi="Arial" w:cs="Arial"/>
          <w:lang w:eastAsia="de-DE"/>
        </w:rPr>
        <w:t xml:space="preserve">Beim Bundesamt für Wirtschaft und Ausfuhrkontrolle (BAFA) kann ein Zuschuss  beantragt werden. </w:t>
      </w:r>
    </w:p>
    <w:p w:rsidR="00221325" w:rsidRPr="00221325" w:rsidRDefault="00221325" w:rsidP="00221325">
      <w:pPr>
        <w:numPr>
          <w:ilvl w:val="0"/>
          <w:numId w:val="5"/>
        </w:numPr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lang w:eastAsia="de-DE"/>
        </w:rPr>
      </w:pPr>
      <w:r w:rsidRPr="00221325">
        <w:rPr>
          <w:rFonts w:ascii="Arial" w:eastAsia="Times New Roman" w:hAnsi="Arial" w:cs="Arial"/>
          <w:u w:val="single"/>
          <w:lang w:eastAsia="de-DE"/>
        </w:rPr>
        <w:t>Damit die Förderung ausgezahlt werden kann, müssen die Kosten für die Sanierung mindestens 2.000 Euro hoch sein.</w:t>
      </w:r>
    </w:p>
    <w:p w:rsidR="00221325" w:rsidRPr="00221325" w:rsidRDefault="00221325" w:rsidP="00221325">
      <w:pPr>
        <w:numPr>
          <w:ilvl w:val="0"/>
          <w:numId w:val="5"/>
        </w:numPr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lang w:eastAsia="de-DE"/>
        </w:rPr>
      </w:pPr>
      <w:r w:rsidRPr="00221325">
        <w:rPr>
          <w:rFonts w:ascii="Arial" w:eastAsia="Times New Roman" w:hAnsi="Arial" w:cs="Arial"/>
          <w:bCs/>
          <w:u w:val="single"/>
          <w:lang w:eastAsia="de-DE"/>
        </w:rPr>
        <w:t>Der Zuschuss beträgt 20 Prozent der förderfähigen Kosten</w:t>
      </w:r>
      <w:r w:rsidRPr="00221325">
        <w:rPr>
          <w:rFonts w:ascii="Arial" w:eastAsia="Times New Roman" w:hAnsi="Arial" w:cs="Arial"/>
          <w:u w:val="single"/>
          <w:lang w:eastAsia="de-DE"/>
        </w:rPr>
        <w:t xml:space="preserve">. </w:t>
      </w:r>
    </w:p>
    <w:p w:rsidR="00221325" w:rsidRPr="00221325" w:rsidRDefault="00221325" w:rsidP="00221325">
      <w:pPr>
        <w:numPr>
          <w:ilvl w:val="0"/>
          <w:numId w:val="5"/>
        </w:numPr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lang w:eastAsia="de-DE"/>
        </w:rPr>
      </w:pPr>
      <w:r w:rsidRPr="00221325">
        <w:rPr>
          <w:rFonts w:ascii="Arial" w:eastAsia="Times New Roman" w:hAnsi="Arial" w:cs="Arial"/>
          <w:u w:val="single"/>
          <w:lang w:eastAsia="de-DE"/>
        </w:rPr>
        <w:t xml:space="preserve">Ein zusätzlicher </w:t>
      </w:r>
      <w:r w:rsidRPr="00221325">
        <w:rPr>
          <w:rFonts w:ascii="Arial" w:eastAsia="Times New Roman" w:hAnsi="Arial" w:cs="Arial"/>
          <w:bCs/>
          <w:u w:val="single"/>
          <w:lang w:eastAsia="de-DE"/>
        </w:rPr>
        <w:t>Bonus in Höhe von 5 Prozent</w:t>
      </w:r>
      <w:r w:rsidRPr="00221325">
        <w:rPr>
          <w:rFonts w:ascii="Arial" w:eastAsia="Times New Roman" w:hAnsi="Arial" w:cs="Arial"/>
          <w:u w:val="single"/>
          <w:lang w:eastAsia="de-DE"/>
        </w:rPr>
        <w:t xml:space="preserve"> ist möglich,</w:t>
      </w:r>
      <w:r w:rsidRPr="00221325">
        <w:rPr>
          <w:rFonts w:ascii="Arial" w:eastAsia="Times New Roman" w:hAnsi="Arial" w:cs="Arial"/>
          <w:lang w:eastAsia="de-DE"/>
        </w:rPr>
        <w:t xml:space="preserve"> wenn </w:t>
      </w:r>
      <w:r w:rsidRPr="00221325">
        <w:rPr>
          <w:rFonts w:ascii="Arial" w:eastAsia="Times New Roman" w:hAnsi="Arial" w:cs="Arial"/>
          <w:lang w:eastAsia="de-DE"/>
        </w:rPr>
        <w:t xml:space="preserve">zum Beispiel eine </w:t>
      </w:r>
      <w:r w:rsidRPr="00221325">
        <w:rPr>
          <w:rFonts w:ascii="Arial" w:eastAsia="Times New Roman" w:hAnsi="Arial" w:cs="Arial"/>
          <w:lang w:eastAsia="de-DE"/>
        </w:rPr>
        <w:t xml:space="preserve">neue Haustür als Maßnahme im </w:t>
      </w:r>
      <w:hyperlink r:id="rId5" w:tooltip="Was ist eigentlich ein individueller Sanierungsfahrplan (iSFP)?" w:history="1">
        <w:r w:rsidRPr="00221325">
          <w:rPr>
            <w:rFonts w:ascii="Arial" w:eastAsia="Times New Roman" w:hAnsi="Arial" w:cs="Arial"/>
            <w:lang w:eastAsia="de-DE"/>
          </w:rPr>
          <w:t>individuellen Sanierungsfahrplan (</w:t>
        </w:r>
        <w:proofErr w:type="spellStart"/>
        <w:r w:rsidRPr="00221325">
          <w:rPr>
            <w:rFonts w:ascii="Arial" w:eastAsia="Times New Roman" w:hAnsi="Arial" w:cs="Arial"/>
            <w:lang w:eastAsia="de-DE"/>
          </w:rPr>
          <w:t>iSFP</w:t>
        </w:r>
        <w:proofErr w:type="spellEnd"/>
        <w:r w:rsidRPr="00221325">
          <w:rPr>
            <w:rFonts w:ascii="Arial" w:eastAsia="Times New Roman" w:hAnsi="Arial" w:cs="Arial"/>
            <w:lang w:eastAsia="de-DE"/>
          </w:rPr>
          <w:t xml:space="preserve">) enthalten war = </w:t>
        </w:r>
        <w:proofErr w:type="spellStart"/>
        <w:r w:rsidRPr="00221325">
          <w:rPr>
            <w:rFonts w:ascii="Arial" w:eastAsia="Times New Roman" w:hAnsi="Arial" w:cs="Arial"/>
            <w:lang w:eastAsia="de-DE"/>
          </w:rPr>
          <w:t>iSFP</w:t>
        </w:r>
        <w:proofErr w:type="spellEnd"/>
        <w:r w:rsidRPr="00221325">
          <w:rPr>
            <w:rFonts w:ascii="Arial" w:eastAsia="Times New Roman" w:hAnsi="Arial" w:cs="Arial"/>
            <w:lang w:eastAsia="de-DE"/>
          </w:rPr>
          <w:t>-Bonus</w:t>
        </w:r>
      </w:hyperlink>
      <w:r w:rsidRPr="00221325">
        <w:rPr>
          <w:rFonts w:ascii="Arial" w:eastAsia="Times New Roman" w:hAnsi="Arial" w:cs="Arial"/>
          <w:lang w:eastAsia="de-DE"/>
        </w:rPr>
        <w:t xml:space="preserve">. </w:t>
      </w:r>
    </w:p>
    <w:p w:rsidR="00221325" w:rsidRPr="00221325" w:rsidRDefault="00221325" w:rsidP="00221325">
      <w:pPr>
        <w:pStyle w:val="Listenabsatz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lang w:eastAsia="de-DE"/>
        </w:rPr>
      </w:pPr>
      <w:r w:rsidRPr="00221325">
        <w:rPr>
          <w:rFonts w:ascii="Arial" w:eastAsia="Times New Roman" w:hAnsi="Arial" w:cs="Arial"/>
          <w:lang w:eastAsia="de-DE"/>
        </w:rPr>
        <w:t xml:space="preserve">Die förderfähigen Ausgaben für energetische Sanierungsmaßnahmen von Wohngebäuden sind gedeckelt auf </w:t>
      </w:r>
      <w:r w:rsidRPr="00221325">
        <w:rPr>
          <w:rFonts w:ascii="Arial" w:eastAsia="Times New Roman" w:hAnsi="Arial" w:cs="Arial"/>
          <w:b/>
          <w:bCs/>
          <w:lang w:eastAsia="de-DE"/>
        </w:rPr>
        <w:t>60.000 Euro pro Wohneinheit</w:t>
      </w:r>
      <w:r w:rsidRPr="00221325">
        <w:rPr>
          <w:rFonts w:ascii="Arial" w:eastAsia="Times New Roman" w:hAnsi="Arial" w:cs="Arial"/>
          <w:lang w:eastAsia="de-DE"/>
        </w:rPr>
        <w:t>.</w:t>
      </w:r>
    </w:p>
    <w:p w:rsidR="00221325" w:rsidRDefault="00221325" w:rsidP="005D3ACC">
      <w:pPr>
        <w:numPr>
          <w:ilvl w:val="0"/>
          <w:numId w:val="5"/>
        </w:numPr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lang w:eastAsia="de-DE"/>
        </w:rPr>
      </w:pPr>
      <w:r w:rsidRPr="00221325">
        <w:rPr>
          <w:rFonts w:ascii="Arial" w:eastAsia="Times New Roman" w:hAnsi="Arial" w:cs="Arial"/>
          <w:b/>
          <w:u w:val="single"/>
          <w:lang w:eastAsia="de-DE"/>
        </w:rPr>
        <w:t>Für die Förderung ist die Einbindung eines Energieberaters Pflicht</w:t>
      </w:r>
      <w:r w:rsidRPr="00221325">
        <w:rPr>
          <w:rFonts w:ascii="Arial" w:eastAsia="Times New Roman" w:hAnsi="Arial" w:cs="Arial"/>
          <w:lang w:eastAsia="de-DE"/>
        </w:rPr>
        <w:t xml:space="preserve">. Für die entstehenden Kosten gibt es den </w:t>
      </w:r>
      <w:hyperlink r:id="rId6" w:tooltip="Bessere Förderung für Baubegleitung und Fachplanung bei Sanierung" w:history="1">
        <w:r w:rsidRPr="00221325">
          <w:rPr>
            <w:rFonts w:ascii="Arial" w:eastAsia="Times New Roman" w:hAnsi="Arial" w:cs="Arial"/>
            <w:u w:val="single"/>
            <w:lang w:eastAsia="de-DE"/>
          </w:rPr>
          <w:t>Zuschuss für Fachplanung und Baubegleitung in Höhe von 50 Prozent</w:t>
        </w:r>
      </w:hyperlink>
      <w:r w:rsidRPr="00221325">
        <w:rPr>
          <w:rFonts w:ascii="Arial" w:eastAsia="Times New Roman" w:hAnsi="Arial" w:cs="Arial"/>
          <w:lang w:eastAsia="de-DE"/>
        </w:rPr>
        <w:t>.</w:t>
      </w: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5D3ACC" w:rsidRPr="005D3ACC" w:rsidRDefault="005D3ACC" w:rsidP="005D3ACC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:rsidR="00221325" w:rsidRDefault="00221325">
      <w:pPr>
        <w:rPr>
          <w:rFonts w:ascii="Arial" w:hAnsi="Arial" w:cs="Arial"/>
          <w:u w:val="single"/>
        </w:rPr>
      </w:pPr>
    </w:p>
    <w:p w:rsidR="00A72E30" w:rsidRDefault="001E7AFF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lastRenderedPageBreak/>
        <w:t xml:space="preserve">Welche technischen Anforderungen sind zu erfüllen? </w:t>
      </w:r>
    </w:p>
    <w:p w:rsidR="00B6511E" w:rsidRDefault="00B6511E">
      <w:pPr>
        <w:rPr>
          <w:rFonts w:ascii="Arial" w:hAnsi="Arial" w:cs="Arial"/>
          <w:u w:val="single"/>
        </w:rPr>
      </w:pPr>
    </w:p>
    <w:p w:rsidR="001C447C" w:rsidRDefault="00583FCC">
      <w:pPr>
        <w:rPr>
          <w:rFonts w:ascii="Arial" w:hAnsi="Arial" w:cs="Arial"/>
        </w:rPr>
      </w:pPr>
      <w:r w:rsidRPr="00583FCC">
        <w:rPr>
          <w:rFonts w:ascii="Arial" w:hAnsi="Arial" w:cs="Arial"/>
        </w:rPr>
        <w:t>Bei Sanierungsmaßnahmen –insbesondere an der wärmeübertragenden Gebäudehülle –ist stets zu prüfen, ob</w:t>
      </w:r>
      <w:r w:rsidR="001C447C">
        <w:rPr>
          <w:rFonts w:ascii="Arial" w:hAnsi="Arial" w:cs="Arial"/>
        </w:rPr>
        <w:t xml:space="preserve"> </w:t>
      </w:r>
      <w:r w:rsidRPr="00583FCC">
        <w:rPr>
          <w:rFonts w:ascii="Arial" w:hAnsi="Arial" w:cs="Arial"/>
        </w:rPr>
        <w:t xml:space="preserve">Maßnahmen zur Einhaltung des Mindestfeuchteschutzes, insb. Vermeidung von Tauwasserausfall und Schimmelpilzbildung durch Einhaltung des Mindestluftwechsels und des Mindestwärmeschutzes, erforderlich sind. </w:t>
      </w:r>
    </w:p>
    <w:p w:rsidR="001C447C" w:rsidRDefault="001C447C">
      <w:pPr>
        <w:rPr>
          <w:rFonts w:ascii="Arial" w:hAnsi="Arial" w:cs="Arial"/>
        </w:rPr>
      </w:pPr>
    </w:p>
    <w:p w:rsidR="001C447C" w:rsidRDefault="00583FCC">
      <w:pPr>
        <w:rPr>
          <w:rFonts w:ascii="Arial" w:hAnsi="Arial" w:cs="Arial"/>
        </w:rPr>
      </w:pPr>
      <w:r w:rsidRPr="00583FCC">
        <w:rPr>
          <w:rFonts w:ascii="Arial" w:hAnsi="Arial" w:cs="Arial"/>
        </w:rPr>
        <w:t xml:space="preserve">Bei </w:t>
      </w:r>
      <w:proofErr w:type="spellStart"/>
      <w:r w:rsidRPr="00583FCC">
        <w:rPr>
          <w:rFonts w:ascii="Arial" w:hAnsi="Arial" w:cs="Arial"/>
        </w:rPr>
        <w:t>Wohn-und</w:t>
      </w:r>
      <w:proofErr w:type="spellEnd"/>
      <w:r w:rsidRPr="00583FCC">
        <w:rPr>
          <w:rFonts w:ascii="Arial" w:hAnsi="Arial" w:cs="Arial"/>
        </w:rPr>
        <w:t xml:space="preserve"> Nichtwohngebäuden ist bei allen Maßnahmen auf eine wärmebrückenminimierte und luftdichte Ausführung zu achten. </w:t>
      </w:r>
    </w:p>
    <w:p w:rsidR="001C447C" w:rsidRDefault="001C447C">
      <w:pPr>
        <w:rPr>
          <w:rFonts w:ascii="Arial" w:hAnsi="Arial" w:cs="Arial"/>
        </w:rPr>
      </w:pPr>
    </w:p>
    <w:p w:rsidR="00A72E30" w:rsidRDefault="00583FCC">
      <w:pPr>
        <w:rPr>
          <w:rFonts w:ascii="Arial" w:hAnsi="Arial" w:cs="Arial"/>
        </w:rPr>
      </w:pPr>
      <w:r w:rsidRPr="00583FCC">
        <w:rPr>
          <w:rFonts w:ascii="Arial" w:hAnsi="Arial" w:cs="Arial"/>
        </w:rPr>
        <w:t>Entsprechende Nachweise sind zu führen. Notwendige Maßnahmen sind umzusetzen. Folgende Anforderungen an die Wärmedurchgangskoeffizienten (U-Werte) sind bei Sanierung der jeweiligen</w:t>
      </w:r>
      <w:r w:rsidR="001C447C">
        <w:rPr>
          <w:rFonts w:ascii="Arial" w:hAnsi="Arial" w:cs="Arial"/>
        </w:rPr>
        <w:t xml:space="preserve"> </w:t>
      </w:r>
      <w:r w:rsidRPr="00583FCC">
        <w:rPr>
          <w:rFonts w:ascii="Arial" w:hAnsi="Arial" w:cs="Arial"/>
        </w:rPr>
        <w:t>Bauteile für eine Förderung als Einzelmaßnahme einzuhalten. Die Anforderungen beziehen sich nur auf die wärmeübertragenden Umfassungsflächen.</w:t>
      </w:r>
    </w:p>
    <w:p w:rsidR="001C447C" w:rsidRDefault="001C447C">
      <w:pPr>
        <w:rPr>
          <w:rFonts w:ascii="Arial" w:hAnsi="Arial" w:cs="Arial"/>
        </w:rPr>
      </w:pPr>
    </w:p>
    <w:p w:rsidR="001C447C" w:rsidRPr="00583FCC" w:rsidRDefault="00CF2D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569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30" w:rsidRDefault="00A72E30"/>
    <w:p w:rsidR="00A72E30" w:rsidRDefault="00A72E30"/>
    <w:p w:rsidR="00177283" w:rsidRDefault="00CF2D6E">
      <w:r>
        <w:t xml:space="preserve">Weitere technische Anforderungen finden unten in den Quellenangaben. </w:t>
      </w:r>
    </w:p>
    <w:p w:rsidR="00177283" w:rsidRDefault="00177283"/>
    <w:p w:rsidR="005D3ACC" w:rsidRDefault="00CF2D6E">
      <w:r>
        <w:t xml:space="preserve">Alle Angaben ohne Gewähr </w:t>
      </w:r>
    </w:p>
    <w:p w:rsidR="00177283" w:rsidRDefault="00177283">
      <w:bookmarkStart w:id="0" w:name="_GoBack"/>
      <w:bookmarkEnd w:id="0"/>
      <w:r>
        <w:lastRenderedPageBreak/>
        <w:t xml:space="preserve">Quelle: </w:t>
      </w:r>
    </w:p>
    <w:p w:rsidR="00177283" w:rsidRDefault="00177283"/>
    <w:p w:rsidR="00445EFC" w:rsidRDefault="00445EFC">
      <w:r>
        <w:t>Allgemein</w:t>
      </w:r>
    </w:p>
    <w:p w:rsidR="00445EFC" w:rsidRDefault="005D3ACC">
      <w:hyperlink r:id="rId8" w:history="1">
        <w:r w:rsidR="00445EFC" w:rsidRPr="00EC7B16">
          <w:rPr>
            <w:rStyle w:val="Hyperlink"/>
          </w:rPr>
          <w:t>https://www.bafa.de/DE/Energie/Effiziente_Gebaeude/Sanierung_Wohngebaeude/Gebaeudehuelle/gebaeudehuelle_node.html</w:t>
        </w:r>
      </w:hyperlink>
    </w:p>
    <w:p w:rsidR="00445EFC" w:rsidRDefault="00445EFC"/>
    <w:p w:rsidR="00445EFC" w:rsidRDefault="00057FAF">
      <w:r>
        <w:t xml:space="preserve">Merkblatt </w:t>
      </w:r>
    </w:p>
    <w:p w:rsidR="00057FAF" w:rsidRDefault="005D3ACC">
      <w:hyperlink r:id="rId9" w:history="1">
        <w:r w:rsidR="00057FAF" w:rsidRPr="00EC7B16">
          <w:rPr>
            <w:rStyle w:val="Hyperlink"/>
          </w:rPr>
          <w:t>https://www.bafa.de/SharedDocs/Downloads/DE/Energie/beg_merkblatt_allgemein_antragstellung.pdf?__blob=publicationFile&amp;v=7</w:t>
        </w:r>
      </w:hyperlink>
    </w:p>
    <w:p w:rsidR="00057FAF" w:rsidRDefault="00057FAF"/>
    <w:p w:rsidR="00B6511E" w:rsidRDefault="00B6511E">
      <w:r>
        <w:t xml:space="preserve">Infoblatt zu förderfähigen Kosten </w:t>
      </w:r>
    </w:p>
    <w:p w:rsidR="00B6511E" w:rsidRDefault="005D3ACC">
      <w:hyperlink r:id="rId10" w:history="1">
        <w:r w:rsidR="00B6511E" w:rsidRPr="00EC7B16">
          <w:rPr>
            <w:rStyle w:val="Hyperlink"/>
          </w:rPr>
          <w:t>https://www.bafa.de/SharedDocs/Downloads/DE/Energie/beg_infoblatt_foerderfaehige_kosten.pdf?__blob=publicationFile&amp;v=9</w:t>
        </w:r>
      </w:hyperlink>
    </w:p>
    <w:p w:rsidR="00B6511E" w:rsidRDefault="00B6511E"/>
    <w:p w:rsidR="00B6511E" w:rsidRDefault="00B6511E">
      <w:r>
        <w:t>technische Mindestanforderungen</w:t>
      </w:r>
    </w:p>
    <w:p w:rsidR="00B6511E" w:rsidRDefault="005D3ACC">
      <w:hyperlink r:id="rId11" w:history="1">
        <w:r w:rsidR="00B6511E" w:rsidRPr="00EC7B16">
          <w:rPr>
            <w:rStyle w:val="Hyperlink"/>
          </w:rPr>
          <w:t>https://www.bmwi.de/Redaktion/DE/Downloads/S-T/tma-beg-em.pdf</w:t>
        </w:r>
      </w:hyperlink>
    </w:p>
    <w:p w:rsidR="00B6511E" w:rsidRDefault="00B6511E"/>
    <w:p w:rsidR="00B6511E" w:rsidRDefault="00B6511E"/>
    <w:sectPr w:rsidR="00B65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592"/>
    <w:multiLevelType w:val="multilevel"/>
    <w:tmpl w:val="F73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229"/>
    <w:multiLevelType w:val="multilevel"/>
    <w:tmpl w:val="C97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3C5"/>
    <w:multiLevelType w:val="multilevel"/>
    <w:tmpl w:val="090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46906"/>
    <w:multiLevelType w:val="hybridMultilevel"/>
    <w:tmpl w:val="F83A63AC"/>
    <w:lvl w:ilvl="0" w:tplc="278EE1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633E"/>
    <w:multiLevelType w:val="multilevel"/>
    <w:tmpl w:val="3D44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2C"/>
    <w:rsid w:val="00057FAF"/>
    <w:rsid w:val="00177283"/>
    <w:rsid w:val="001C447C"/>
    <w:rsid w:val="001E7AFF"/>
    <w:rsid w:val="00221325"/>
    <w:rsid w:val="00225895"/>
    <w:rsid w:val="00320B48"/>
    <w:rsid w:val="00335DF8"/>
    <w:rsid w:val="00380BDD"/>
    <w:rsid w:val="003E1DF6"/>
    <w:rsid w:val="00445EFC"/>
    <w:rsid w:val="00490BD4"/>
    <w:rsid w:val="00583FCC"/>
    <w:rsid w:val="005D3ACC"/>
    <w:rsid w:val="00803B14"/>
    <w:rsid w:val="00942B78"/>
    <w:rsid w:val="00956D4C"/>
    <w:rsid w:val="009A6ABF"/>
    <w:rsid w:val="00A179BF"/>
    <w:rsid w:val="00A71224"/>
    <w:rsid w:val="00A72E30"/>
    <w:rsid w:val="00B6511E"/>
    <w:rsid w:val="00BE4E2C"/>
    <w:rsid w:val="00C21C88"/>
    <w:rsid w:val="00CB43AA"/>
    <w:rsid w:val="00CF2D6E"/>
    <w:rsid w:val="00EB3E8F"/>
    <w:rsid w:val="00F46E6B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6EF"/>
  <w15:chartTrackingRefBased/>
  <w15:docId w15:val="{DB187FDF-92F3-4BCF-9576-F150BF3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56D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2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item">
    <w:name w:val="list__item"/>
    <w:basedOn w:val="Standard"/>
    <w:rsid w:val="00A72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E3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6D4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u-nobr">
    <w:name w:val="u-nobr"/>
    <w:basedOn w:val="Absatz-Standardschriftart"/>
    <w:rsid w:val="00956D4C"/>
  </w:style>
  <w:style w:type="character" w:styleId="Hyperlink">
    <w:name w:val="Hyperlink"/>
    <w:basedOn w:val="Absatz-Standardschriftart"/>
    <w:uiPriority w:val="99"/>
    <w:unhideWhenUsed/>
    <w:rsid w:val="001772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72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B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fa.de/DE/Energie/Effiziente_Gebaeude/Sanierung_Wohngebaeude/Gebaeudehuelle/gebaeudehuelle_no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ie-fachberater.de/news/bessere-foerderung-fuer-baubegleitung-und-fachplanung-bei-sanierung.php" TargetMode="External"/><Relationship Id="rId11" Type="http://schemas.openxmlformats.org/officeDocument/2006/relationships/hyperlink" Target="https://www.bmwi.de/Redaktion/DE/Downloads/S-T/tma-beg-em.pdf" TargetMode="External"/><Relationship Id="rId5" Type="http://schemas.openxmlformats.org/officeDocument/2006/relationships/hyperlink" Target="https://www.energie-fachberater.de/beratung-foerdermittel/energieberater/was-ist-eigentlich-ein-individueller-sanierungsfahrplan-isfp.php" TargetMode="External"/><Relationship Id="rId10" Type="http://schemas.openxmlformats.org/officeDocument/2006/relationships/hyperlink" Target="https://www.bafa.de/SharedDocs/Downloads/DE/Energie/beg_infoblatt_foerderfaehige_kosten.pdf?__blob=publicationFile&amp;v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fa.de/SharedDocs/Downloads/DE/Energie/beg_merkblatt_allgemein_antragstellung.pdf?__blob=publicationFile&amp;v=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Madecki, Maurice</dc:creator>
  <cp:keywords/>
  <dc:description/>
  <cp:lastModifiedBy>Madecki, Maurice</cp:lastModifiedBy>
  <cp:revision>18</cp:revision>
  <dcterms:created xsi:type="dcterms:W3CDTF">2021-03-04T10:04:00Z</dcterms:created>
  <dcterms:modified xsi:type="dcterms:W3CDTF">2021-03-12T06:57:00Z</dcterms:modified>
</cp:coreProperties>
</file>